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yrgpemgoim98" w:id="0"/>
      <w:bookmarkEnd w:id="0"/>
      <w:r w:rsidDel="00000000" w:rsidR="00000000" w:rsidRPr="00000000">
        <w:rPr>
          <w:rtl w:val="0"/>
        </w:rPr>
        <w:t xml:space="preserve">Жерар Валькот</w:t>
      </w:r>
    </w:p>
    <w:p w:rsidR="00000000" w:rsidDel="00000000" w:rsidP="00000000" w:rsidRDefault="00000000" w:rsidRPr="00000000" w14:paraId="00000002">
      <w:pPr>
        <w:pStyle w:val="Heading3"/>
        <w:rPr/>
      </w:pPr>
      <w:bookmarkStart w:colFirst="0" w:colLast="0" w:name="_cvss4qedc7ie" w:id="1"/>
      <w:bookmarkEnd w:id="1"/>
      <w:r w:rsidDel="00000000" w:rsidR="00000000" w:rsidRPr="00000000">
        <w:rPr>
          <w:rtl w:val="0"/>
        </w:rPr>
        <w:t xml:space="preserve">Избранные выдержки из публичных дискуссий</w:t>
      </w:r>
    </w:p>
    <w:p w:rsidR="00000000" w:rsidDel="00000000" w:rsidP="00000000" w:rsidRDefault="00000000" w:rsidRPr="00000000" w14:paraId="00000003">
      <w:pPr>
        <w:pStyle w:val="Heading1"/>
        <w:rPr/>
      </w:pPr>
      <w:bookmarkStart w:colFirst="0" w:colLast="0" w:name="_214nm5vo8j58" w:id="2"/>
      <w:bookmarkEnd w:id="2"/>
      <w:r w:rsidDel="00000000" w:rsidR="00000000" w:rsidRPr="00000000">
        <w:rPr>
          <w:rtl w:val="0"/>
        </w:rPr>
        <w:t xml:space="preserve">“Демонтаж меланжевой монополии: pro et contra”, Эказ, 10014 ГМ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Благодарю вас за этот вопрос, но если позволите, ответ на него мне придется начать весьма издалека.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Начать стоит с того, что, с нашей точки зрения пряность не вполне корректно причислять к типичным природным монополиям. 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&lt;...&gt;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Нет-нет. Типичная природная монополия строится на том, что она предоставляет доступ к эксклюзивному ресурсу. Например, в далекой древности без сока каучукового дерева невозможно было получать резину, а без нафты невозможно было получение горюче-смазочных полимеров. Проблема в том, что большинство экономистов и политиков Империи не вполне обоснованно считает, что монополия на пряность работает тем же самым образом. Однако это принципиально не так.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&lt;...&gt;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Это безусловно было бы так, если бы именно пряность, как таковая давала все те уникальные свойства, например, долголетие или предзнание. Однако наши последние исследования говорят строго об обратном. В серии работ мы убедительно доказываем, что все эти способности являются исключительной продуктом коэволюции человека и существ Оссиан-Прайм. И в этом коренное отличие!</w:t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Как только мы вводим в монопольное уравнение человека как такового, монополия теряет смысл. Пряность – лишь катализатор тех процессов, что уже происходят в теле человека. Они является проводником, что позволяет раскрыть внутренние ресурсы самого организма. Она попросту не способна дать человеку то, чего в его организме не заложено природой изначально.</w:t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&lt;...&gt;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Таким образом, пряность дает нам как цивилизации не столько ресурс, сколько функционал. Вернее, доступ к функционалу нашего собственного организма. А в этом случае для настоящей природной монополии нам необходимо было бы учитывать в качестве ресурса не только катализатор, но и субстрат, так сказать. То есть самого человека… Что при всем разнообразии человеческих индивидов и их способностей… и внутривидовой, и тем более социальной конкуренции… одним словом, такое рассмотрение вопроса теряет всяческий смысл.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&lt;...&gt;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Да-да, именно так. И теперь, когда мы выяснили, что монополия носит не столько природный, сколько функциональный характер, мы можем сделать следующий шаг в наших рассуждениях, вернувшись к рассмотрению собственно перспектив монополии.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позволю себе заметить, что именно восприятие вопроса, как сугубо функционального, может быть нам стратегическое преимущество в самом скором времени.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&lt;...&gt;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Дело в том, что пока все остальные участники политического процесса сконцентрированы исключительно на вопросе контроля над источника собственно пряности, именно мы можем занять наиболее перспективное и максимально свободное от конкуренции поле, вложив свои ресурсы в создание функциональных альтернатив пряности. </w:t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Заметьте, я не говорю о повторении формулы или структуры продукта, которая должна оказывать схожий эффект. Я говорю именно о функциональном заменителе. И, безусловно, именно дому Эказ это может быть под силу, учитывая богатейший опыт наших разработок. </w:t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Поэтому я бы сказал, что исполнен определенного оптимизма в данном вопросе. Конечно же, в том объеме, в котором может испытывать оптимизм рационалист.</w:t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